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DCA66" w14:textId="13F16385" w:rsidR="00F65AB1" w:rsidRPr="00F65AB1" w:rsidRDefault="00EC724C" w:rsidP="00F65AB1">
      <w:pPr>
        <w:shd w:val="clear" w:color="auto" w:fill="CCCCCC"/>
        <w:suppressAutoHyphens/>
        <w:spacing w:after="0" w:line="36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PREGÃO </w:t>
      </w:r>
      <w:r w:rsidR="00B87B1F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ELETRÔNICO </w:t>
      </w:r>
      <w:r w:rsidR="00AA2C75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Nº </w:t>
      </w:r>
      <w:r w:rsidR="003E2874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1</w:t>
      </w:r>
      <w:r w:rsidR="00813F90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132</w:t>
      </w:r>
      <w:r w:rsidR="003E2874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/2022</w:t>
      </w:r>
    </w:p>
    <w:p w14:paraId="30AA838C" w14:textId="77777777" w:rsidR="00C479C9" w:rsidRDefault="00C479C9" w:rsidP="00F65AB1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kern w:val="1"/>
          <w:sz w:val="20"/>
          <w:szCs w:val="20"/>
          <w:lang w:eastAsia="ar-SA"/>
        </w:rPr>
      </w:pPr>
    </w:p>
    <w:p w14:paraId="4F559693" w14:textId="77777777" w:rsidR="00144757" w:rsidRDefault="00144757" w:rsidP="00F65AB1">
      <w:pPr>
        <w:suppressAutoHyphens/>
        <w:spacing w:after="0" w:line="360" w:lineRule="auto"/>
        <w:jc w:val="center"/>
        <w:rPr>
          <w:rFonts w:eastAsia="Times New Roman" w:cs="Calibri"/>
          <w:b/>
          <w:bCs/>
          <w:kern w:val="1"/>
          <w:sz w:val="20"/>
          <w:szCs w:val="20"/>
          <w:lang w:eastAsia="ar-SA"/>
        </w:rPr>
      </w:pPr>
    </w:p>
    <w:p w14:paraId="217E6816" w14:textId="0D8CC8BA" w:rsidR="00F65AB1" w:rsidRPr="00144757" w:rsidRDefault="006774C1" w:rsidP="001065FD">
      <w:pPr>
        <w:suppressAutoHyphens/>
        <w:spacing w:after="0" w:line="360" w:lineRule="auto"/>
        <w:jc w:val="center"/>
        <w:rPr>
          <w:rFonts w:eastAsia="Times New Roman" w:cs="Calibri"/>
          <w:b/>
          <w:bCs/>
          <w:kern w:val="1"/>
          <w:lang w:eastAsia="ar-SA"/>
        </w:rPr>
      </w:pPr>
      <w:r w:rsidRPr="00144757">
        <w:rPr>
          <w:rFonts w:eastAsia="Times New Roman" w:cs="Calibri"/>
          <w:b/>
          <w:bCs/>
          <w:kern w:val="1"/>
          <w:lang w:eastAsia="ar-SA"/>
        </w:rPr>
        <w:t>RESPOSTA</w:t>
      </w:r>
      <w:r w:rsidR="001065FD">
        <w:rPr>
          <w:rFonts w:eastAsia="Times New Roman" w:cs="Calibri"/>
          <w:b/>
          <w:bCs/>
          <w:kern w:val="1"/>
          <w:lang w:eastAsia="ar-SA"/>
        </w:rPr>
        <w:t xml:space="preserve"> AO</w:t>
      </w:r>
      <w:r w:rsidR="00F65AB1" w:rsidRPr="00144757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="00147E5D" w:rsidRPr="00144757">
        <w:rPr>
          <w:rFonts w:eastAsia="Times New Roman" w:cs="Calibri"/>
          <w:b/>
          <w:bCs/>
          <w:kern w:val="1"/>
          <w:lang w:eastAsia="ar-SA"/>
        </w:rPr>
        <w:t>RECURSO ADMINISTRATIVO</w:t>
      </w:r>
      <w:r w:rsidR="00F65AB1" w:rsidRPr="00144757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Pr="00144757">
        <w:rPr>
          <w:rFonts w:eastAsia="Times New Roman" w:cs="Calibri"/>
          <w:b/>
          <w:bCs/>
          <w:kern w:val="1"/>
          <w:lang w:eastAsia="ar-SA"/>
        </w:rPr>
        <w:t>DA EMPRESA</w:t>
      </w:r>
      <w:r w:rsidR="001065FD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="00813F90" w:rsidRPr="00813F90">
        <w:rPr>
          <w:rFonts w:eastAsia="Times New Roman" w:cs="Calibri"/>
          <w:b/>
          <w:bCs/>
          <w:kern w:val="1"/>
          <w:lang w:eastAsia="ar-SA"/>
        </w:rPr>
        <w:t>SCJ SEGURANÇA DIGITAL EIRELI</w:t>
      </w:r>
      <w:r w:rsidR="0015109A" w:rsidRPr="0015109A">
        <w:rPr>
          <w:rFonts w:eastAsia="Times New Roman" w:cs="Calibri"/>
          <w:b/>
          <w:bCs/>
          <w:kern w:val="1"/>
          <w:lang w:eastAsia="ar-SA"/>
        </w:rPr>
        <w:t>.</w:t>
      </w:r>
    </w:p>
    <w:p w14:paraId="096BCFF0" w14:textId="77777777" w:rsidR="00144757" w:rsidRDefault="00144757" w:rsidP="00F65AB1">
      <w:pPr>
        <w:suppressAutoHyphens/>
        <w:spacing w:after="0" w:line="360" w:lineRule="auto"/>
        <w:rPr>
          <w:rFonts w:eastAsia="Times New Roman" w:cs="Calibri"/>
          <w:kern w:val="1"/>
          <w:sz w:val="20"/>
          <w:szCs w:val="20"/>
          <w:lang w:eastAsia="ar-SA"/>
        </w:rPr>
      </w:pPr>
    </w:p>
    <w:p w14:paraId="3EEBD46B" w14:textId="321EAF2F" w:rsidR="00F65AB1" w:rsidRDefault="00F65AB1" w:rsidP="00A26EB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No dia 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20 </w:t>
      </w:r>
      <w:r w:rsidR="003E287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de 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outubro de 2022</w:t>
      </w:r>
      <w:r w:rsidR="003E287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às 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15h</w:t>
      </w:r>
      <w:r w:rsidR="00813F90">
        <w:rPr>
          <w:rFonts w:eastAsia="Times New Roman" w:cs="Calibri"/>
          <w:bCs/>
          <w:kern w:val="1"/>
          <w:sz w:val="24"/>
          <w:szCs w:val="24"/>
          <w:lang w:eastAsia="ar-SA"/>
        </w:rPr>
        <w:t>49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3E287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foi protocolad</w:t>
      </w:r>
      <w:r w:rsidR="00EC724C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junto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ao sistema </w:t>
      </w:r>
      <w:proofErr w:type="spellStart"/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eLic</w:t>
      </w:r>
      <w:proofErr w:type="spellEnd"/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Pregão Eletrônico da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Fundação Universidad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 do Estado de Santa Catarina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 ADMINISTRATIVO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A032BA">
        <w:rPr>
          <w:rFonts w:eastAsia="Times New Roman" w:cs="Calibri"/>
          <w:bCs/>
          <w:kern w:val="1"/>
          <w:sz w:val="24"/>
          <w:szCs w:val="24"/>
          <w:lang w:eastAsia="ar-SA"/>
        </w:rPr>
        <w:t>r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eferente ao 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resultado d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 </w:t>
      </w:r>
      <w:r w:rsidR="00EC724C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classificação do Pregão </w:t>
      </w:r>
      <w:r w:rsidR="00B87B1F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eletrônico</w:t>
      </w:r>
      <w:r w:rsidR="00EC724C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813F90">
        <w:rPr>
          <w:rFonts w:eastAsia="Times New Roman" w:cs="Calibri"/>
          <w:bCs/>
          <w:kern w:val="1"/>
          <w:sz w:val="24"/>
          <w:szCs w:val="24"/>
          <w:lang w:eastAsia="ar-SA"/>
        </w:rPr>
        <w:t>132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/2022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pela </w:t>
      </w:r>
      <w:r w:rsidR="006774C1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empresa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813F90" w:rsidRPr="00813F90">
        <w:rPr>
          <w:rFonts w:eastAsia="Times New Roman" w:cs="Calibri"/>
          <w:bCs/>
          <w:kern w:val="1"/>
          <w:sz w:val="24"/>
          <w:szCs w:val="24"/>
          <w:lang w:eastAsia="ar-SA"/>
        </w:rPr>
        <w:t>SCJ SEGURANÇA DIGITAL EIRELI</w:t>
      </w:r>
      <w:r w:rsidR="003E2874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3E2874" w:rsidRPr="00916F60">
        <w:rPr>
          <w:rFonts w:eastAsia="Times New Roman" w:cs="Calibri"/>
          <w:bCs/>
          <w:kern w:val="1"/>
          <w:sz w:val="24"/>
          <w:lang w:eastAsia="ar-SA"/>
        </w:rPr>
        <w:t xml:space="preserve">inscrita no CNPJ nº </w:t>
      </w:r>
      <w:r w:rsidR="00813F90">
        <w:rPr>
          <w:rFonts w:eastAsia="Times New Roman" w:cs="Calibri"/>
          <w:bCs/>
          <w:kern w:val="1"/>
          <w:sz w:val="24"/>
          <w:lang w:eastAsia="ar-SA"/>
        </w:rPr>
        <w:t>15.510.770</w:t>
      </w:r>
      <w:r w:rsidR="003E2874">
        <w:rPr>
          <w:rFonts w:eastAsia="Times New Roman" w:cs="Calibri"/>
          <w:bCs/>
          <w:kern w:val="1"/>
          <w:sz w:val="24"/>
          <w:lang w:eastAsia="ar-SA"/>
        </w:rPr>
        <w:t>/0001-</w:t>
      </w:r>
      <w:r w:rsidR="00813F90">
        <w:rPr>
          <w:rFonts w:eastAsia="Times New Roman" w:cs="Calibri"/>
          <w:bCs/>
          <w:kern w:val="1"/>
          <w:sz w:val="24"/>
          <w:lang w:eastAsia="ar-SA"/>
        </w:rPr>
        <w:t>51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, sendo que a empres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recorrida,</w:t>
      </w:r>
      <w:r w:rsidR="0015109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bookmarkStart w:id="0" w:name="_Hlk118971951"/>
      <w:proofErr w:type="spellStart"/>
      <w:r w:rsidR="004D4D6D" w:rsidRPr="004D4D6D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Microcable</w:t>
      </w:r>
      <w:proofErr w:type="spellEnd"/>
      <w:r w:rsidR="004D4D6D" w:rsidRPr="004D4D6D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Serviços e Equipamentos Ltda</w:t>
      </w:r>
      <w:bookmarkEnd w:id="0"/>
      <w:r w:rsidR="00575B78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apresentou </w:t>
      </w:r>
      <w:r w:rsidR="003429D5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as suas </w:t>
      </w:r>
      <w:r w:rsidR="00575B78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contrarrazões</w:t>
      </w:r>
      <w:r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seguindo os trâmites dispostos no edital em epígrafe, e sob a qual passamos a nos posicionar,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conforme determinação do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§ 4º,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art.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109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da Lei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8.666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/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93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 inciso XVIII, art. 4º, da Lei 10.520/02.</w:t>
      </w:r>
    </w:p>
    <w:p w14:paraId="7840E68F" w14:textId="77777777" w:rsidR="007D6967" w:rsidRPr="00144757" w:rsidRDefault="007D6967" w:rsidP="00F65AB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6CD9E60C" w14:textId="77777777" w:rsidR="005354AA" w:rsidRPr="00144757" w:rsidRDefault="006774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ADMISSIBILIDADE</w:t>
      </w:r>
    </w:p>
    <w:p w14:paraId="7E5B3BFD" w14:textId="77777777" w:rsidR="00D67AC1" w:rsidRPr="00144757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0"/>
          <w:szCs w:val="20"/>
          <w:lang w:eastAsia="ar-SA"/>
        </w:rPr>
      </w:pPr>
    </w:p>
    <w:p w14:paraId="0D194CD4" w14:textId="77777777" w:rsidR="006774C1" w:rsidRPr="00144757" w:rsidRDefault="006774C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Inicialmente, cabe apreciar o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requisito de admissibilidade do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referid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 Recurso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ou seja, apreciar se 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mesm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foi interpost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dentro do prazo 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 condições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estabelecido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para tal. </w:t>
      </w:r>
    </w:p>
    <w:p w14:paraId="1EA5147E" w14:textId="5925F189" w:rsidR="003429D5" w:rsidRDefault="00121A8E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Dessa forma, o subitem </w:t>
      </w:r>
      <w:r w:rsidR="00957547">
        <w:rPr>
          <w:rFonts w:eastAsia="Times New Roman" w:cs="Calibri"/>
          <w:bCs/>
          <w:kern w:val="1"/>
          <w:sz w:val="24"/>
          <w:szCs w:val="24"/>
          <w:lang w:eastAsia="ar-SA"/>
        </w:rPr>
        <w:t>10.2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do Edital da licitação em questão dispõe: </w:t>
      </w:r>
    </w:p>
    <w:p w14:paraId="3E0FF772" w14:textId="485DCBB1" w:rsidR="003429D5" w:rsidRDefault="00957547" w:rsidP="00957547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  <w:r w:rsidRPr="00957547">
        <w:rPr>
          <w:rFonts w:ascii="Calibri" w:hAnsi="Calibri" w:cs="Arial"/>
          <w:sz w:val="20"/>
          <w:szCs w:val="20"/>
        </w:rPr>
        <w:t>10.2 – Declarado o vencedor, qualquer licitante poderá manifestar sua intenção de recorrer, de forma</w:t>
      </w:r>
      <w:r>
        <w:rPr>
          <w:rFonts w:ascii="Calibri" w:hAnsi="Calibri" w:cs="Arial"/>
          <w:sz w:val="20"/>
          <w:szCs w:val="20"/>
        </w:rPr>
        <w:t xml:space="preserve"> </w:t>
      </w:r>
      <w:r w:rsidRPr="00957547">
        <w:rPr>
          <w:rFonts w:ascii="Calibri" w:hAnsi="Calibri" w:cs="Arial"/>
          <w:sz w:val="20"/>
          <w:szCs w:val="20"/>
        </w:rPr>
        <w:t>motivada no prazo de 30 minutos, em campo próprio do Sistema, sendo-lhe concedido o prazo de 03</w:t>
      </w:r>
      <w:r>
        <w:rPr>
          <w:rFonts w:ascii="Calibri" w:hAnsi="Calibri" w:cs="Arial"/>
          <w:sz w:val="20"/>
          <w:szCs w:val="20"/>
        </w:rPr>
        <w:t xml:space="preserve"> </w:t>
      </w:r>
      <w:r w:rsidRPr="00957547">
        <w:rPr>
          <w:rFonts w:ascii="Calibri" w:hAnsi="Calibri" w:cs="Arial"/>
          <w:sz w:val="20"/>
          <w:szCs w:val="20"/>
        </w:rPr>
        <w:t>(três) dias para a apresentação das razões do recurso, ficando os demais licitantes, desde logo, intimados</w:t>
      </w:r>
      <w:r>
        <w:rPr>
          <w:rFonts w:ascii="Calibri" w:hAnsi="Calibri" w:cs="Arial"/>
          <w:sz w:val="20"/>
          <w:szCs w:val="20"/>
        </w:rPr>
        <w:t xml:space="preserve"> </w:t>
      </w:r>
      <w:r w:rsidRPr="00957547">
        <w:rPr>
          <w:rFonts w:ascii="Calibri" w:hAnsi="Calibri" w:cs="Arial"/>
          <w:sz w:val="20"/>
          <w:szCs w:val="20"/>
        </w:rPr>
        <w:t>a apresentar contrarrazões em igual número de dias, que começarão a correr do término do prazo da</w:t>
      </w:r>
      <w:r>
        <w:rPr>
          <w:rFonts w:ascii="Calibri" w:hAnsi="Calibri" w:cs="Arial"/>
          <w:sz w:val="20"/>
          <w:szCs w:val="20"/>
        </w:rPr>
        <w:t xml:space="preserve"> </w:t>
      </w:r>
      <w:r w:rsidRPr="00957547">
        <w:rPr>
          <w:rFonts w:ascii="Calibri" w:hAnsi="Calibri" w:cs="Arial"/>
          <w:sz w:val="20"/>
          <w:szCs w:val="20"/>
        </w:rPr>
        <w:t>recorrente, sendo-lhes assegurada vista dos autos</w:t>
      </w:r>
      <w:r w:rsidR="00974A21" w:rsidRPr="00974A21">
        <w:rPr>
          <w:rFonts w:ascii="Calibri" w:hAnsi="Calibri" w:cs="Arial"/>
          <w:sz w:val="20"/>
          <w:szCs w:val="20"/>
        </w:rPr>
        <w:t>.</w:t>
      </w:r>
    </w:p>
    <w:p w14:paraId="0594A9CF" w14:textId="77777777" w:rsidR="003429D5" w:rsidRPr="003429D5" w:rsidRDefault="003429D5" w:rsidP="003429D5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33431210" w14:textId="453EB1D1" w:rsidR="003429D5" w:rsidRDefault="007D6967" w:rsidP="00121A8E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>recorrente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manifest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>ou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sua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intenç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ões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recurso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em sessão do dia </w:t>
      </w:r>
      <w:r w:rsidR="00813F90">
        <w:rPr>
          <w:rFonts w:eastAsia="Times New Roman" w:cs="Calibri"/>
          <w:bCs/>
          <w:kern w:val="1"/>
          <w:sz w:val="24"/>
          <w:szCs w:val="24"/>
          <w:lang w:eastAsia="ar-SA"/>
        </w:rPr>
        <w:t>27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outubro </w:t>
      </w:r>
      <w:r w:rsidR="00957547">
        <w:rPr>
          <w:rFonts w:eastAsia="Times New Roman" w:cs="Calibri"/>
          <w:bCs/>
          <w:kern w:val="1"/>
          <w:sz w:val="24"/>
          <w:szCs w:val="24"/>
          <w:lang w:eastAsia="ar-SA"/>
        </w:rPr>
        <w:t>de 202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conforme consta nos autos, tendo pr</w:t>
      </w:r>
      <w:r w:rsidR="004B46D5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otocol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ado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no sistema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em </w:t>
      </w:r>
      <w:r w:rsidR="00813F90">
        <w:rPr>
          <w:rFonts w:eastAsia="Times New Roman" w:cs="Calibri"/>
          <w:bCs/>
          <w:kern w:val="1"/>
          <w:sz w:val="24"/>
          <w:szCs w:val="24"/>
          <w:lang w:eastAsia="ar-SA"/>
        </w:rPr>
        <w:t>31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outubro de 2022</w:t>
      </w:r>
      <w:r w:rsidR="00D67A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TEMPESTIVAMENTE, logo merece ter seu mérito analisado pel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o Pregoeiro. </w:t>
      </w:r>
    </w:p>
    <w:p w14:paraId="76E1F27F" w14:textId="77777777" w:rsidR="007D3339" w:rsidRPr="00144757" w:rsidRDefault="007D3339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62E075A7" w14:textId="77777777" w:rsidR="00121A8E" w:rsidRPr="00144757" w:rsidRDefault="00121A8E" w:rsidP="00D1022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</w:t>
      </w:r>
      <w:r w:rsidR="002824B2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FORMALIDADES LEGAIS</w:t>
      </w:r>
    </w:p>
    <w:p w14:paraId="580E688D" w14:textId="77777777" w:rsidR="00D1022A" w:rsidRPr="00144757" w:rsidRDefault="00D1022A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3BCDBDBE" w14:textId="41F358ED" w:rsidR="00121A8E" w:rsidRPr="00144757" w:rsidRDefault="00121A8E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Registra-se que, cumprindo as formalidades legais, foram todos os demais licitantes cientificados da existência e trâmite do Recurso Administrativo interposto, conforme comprovam os documentos acostados 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ao P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rocesso de Licitaç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ão, de acordo com o item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7D3339">
        <w:rPr>
          <w:rFonts w:eastAsia="Times New Roman" w:cs="Calibri"/>
          <w:bCs/>
          <w:kern w:val="1"/>
          <w:sz w:val="24"/>
          <w:szCs w:val="24"/>
          <w:lang w:eastAsia="ar-SA"/>
        </w:rPr>
        <w:t>0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  <w:r w:rsidR="007D3339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do Edital</w:t>
      </w:r>
      <w:r w:rsidR="00876D45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5EF4F7AA" w14:textId="220871F0" w:rsidR="00144757" w:rsidRPr="00D53E34" w:rsidRDefault="00603F6A" w:rsidP="00A26EB2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lastRenderedPageBreak/>
        <w:t>Fo</w:t>
      </w:r>
      <w:r w:rsidR="00575B78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i </w:t>
      </w:r>
      <w:r w:rsidR="00D1022A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recebido </w:t>
      </w:r>
      <w:r w:rsidR="007D6967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o </w:t>
      </w:r>
      <w:r w:rsidR="00D1022A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pedido</w:t>
      </w:r>
      <w:r w:rsidR="007D6967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contrarrazões </w:t>
      </w:r>
      <w:r w:rsidR="00B87B1F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da empresa</w:t>
      </w:r>
      <w:r w:rsidR="00B12C5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proofErr w:type="spellStart"/>
      <w:r w:rsidR="004D4D6D" w:rsidRPr="00D53E34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Microcable</w:t>
      </w:r>
      <w:proofErr w:type="spellEnd"/>
      <w:r w:rsidR="004D4D6D" w:rsidRPr="00D53E34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Serviços e Equipamentos Ltda</w:t>
      </w:r>
      <w:r w:rsidR="007D3339" w:rsidRPr="00D53E34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.</w:t>
      </w:r>
    </w:p>
    <w:p w14:paraId="76CE2632" w14:textId="77777777" w:rsidR="00B12C59" w:rsidRPr="00144757" w:rsidRDefault="00B12C59" w:rsidP="00B12C5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5D9C4C84" w14:textId="77777777" w:rsidR="005354AA" w:rsidRPr="00144757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PONTO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QUESTIONADO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</w:p>
    <w:p w14:paraId="503043A3" w14:textId="77777777" w:rsidR="00D67AC1" w:rsidRPr="003E2874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669F9C54" w14:textId="78E6AED2" w:rsidR="006C4F43" w:rsidRPr="003E2874" w:rsidRDefault="006774C1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Em que pesem os respeitáveis argumentos apresentados p</w:t>
      </w:r>
      <w:r w:rsidR="00876D45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ela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empresa</w:t>
      </w:r>
      <w:r w:rsidR="00B12C59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4F353D" w:rsidRPr="004F353D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SCJ SEGURANÇA DIGITAL EIRELI</w:t>
      </w:r>
      <w:r w:rsidR="00B87B1F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972478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D1022A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ite</w:t>
      </w:r>
      <w:r w:rsidR="00D1022A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ns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centra</w:t>
      </w:r>
      <w:r w:rsidR="00D1022A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is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da sua peça </w:t>
      </w:r>
      <w:r w:rsidR="00D1022A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são: </w:t>
      </w:r>
    </w:p>
    <w:p w14:paraId="143D33BC" w14:textId="77777777" w:rsidR="00B12C59" w:rsidRPr="003E2874" w:rsidRDefault="00B12C59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46C155F0" w14:textId="10065FD8" w:rsidR="004F353D" w:rsidRDefault="00D1022A" w:rsidP="004F353D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highlight w:val="yellow"/>
          <w:u w:val="single"/>
          <w:lang w:eastAsia="ar-SA"/>
        </w:rPr>
      </w:pPr>
      <w:r w:rsidRPr="004F353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1º) </w:t>
      </w:r>
      <w:r w:rsidR="0016622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Apresentação da proposta dos produtos </w:t>
      </w:r>
      <w:r w:rsidR="00A152E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sem </w:t>
      </w:r>
      <w:r w:rsidR="006D7CC3">
        <w:rPr>
          <w:rFonts w:eastAsia="Times New Roman" w:cs="Calibri"/>
          <w:bCs/>
          <w:kern w:val="1"/>
          <w:sz w:val="24"/>
          <w:szCs w:val="24"/>
          <w:lang w:eastAsia="ar-SA"/>
        </w:rPr>
        <w:t>apresentar a marca e modelo dos produtos ofertados</w:t>
      </w:r>
      <w:r w:rsidR="004F353D">
        <w:rPr>
          <w:rFonts w:eastAsia="Times New Roman" w:cs="Calibri"/>
          <w:bCs/>
          <w:kern w:val="1"/>
          <w:sz w:val="24"/>
          <w:szCs w:val="24"/>
          <w:lang w:eastAsia="ar-SA"/>
        </w:rPr>
        <w:t>;</w:t>
      </w:r>
    </w:p>
    <w:p w14:paraId="0853CA38" w14:textId="3BD19C54" w:rsidR="00582908" w:rsidRPr="003E2874" w:rsidRDefault="003E2874" w:rsidP="006D7CC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2º) </w:t>
      </w:r>
      <w:r w:rsidR="006D7CC3">
        <w:t>INSTALAÇÃO DE DISTRIBUIDOR INTERNO ÓPTICO 19” – 24 FIBRAS e 12 FIBRAS a empresa fez a oferta apenas do MODULO BÁSICO (caixa), visto que este equipamento da marca FURUKAWA precisa ser montado a parte, a empresa deixou de ofertar o Kit Bandeja de emenda, extensões óptica conectorização e kit suporte de adaptadores.</w:t>
      </w:r>
      <w:r w:rsidR="0058290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</w:p>
    <w:p w14:paraId="2C750D36" w14:textId="77777777" w:rsidR="00972478" w:rsidRPr="003E2874" w:rsidRDefault="00972478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3CDAFD0D" w14:textId="72725AFE" w:rsidR="007D3339" w:rsidRPr="003E2874" w:rsidRDefault="007D3339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3E2874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CONTRARRAZÃO</w:t>
      </w:r>
    </w:p>
    <w:p w14:paraId="2819B24B" w14:textId="7CD9B000" w:rsidR="007D3339" w:rsidRDefault="007D3339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315585C8" w14:textId="60E37532" w:rsidR="003E2874" w:rsidRDefault="007D3339" w:rsidP="005A68B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 w:rsidRPr="005A68B0">
        <w:rPr>
          <w:rFonts w:eastAsia="Times New Roman" w:cs="Calibri"/>
          <w:kern w:val="1"/>
          <w:sz w:val="24"/>
          <w:szCs w:val="24"/>
          <w:lang w:eastAsia="ar-SA"/>
        </w:rPr>
        <w:t>Aborda entre várias alegações</w:t>
      </w:r>
      <w:r w:rsidR="003E2874">
        <w:rPr>
          <w:rFonts w:eastAsia="Times New Roman" w:cs="Calibri"/>
          <w:kern w:val="1"/>
          <w:sz w:val="24"/>
          <w:szCs w:val="24"/>
          <w:lang w:eastAsia="ar-SA"/>
        </w:rPr>
        <w:t xml:space="preserve">, resumidamente, </w:t>
      </w:r>
      <w:r w:rsidR="003B733C">
        <w:rPr>
          <w:rFonts w:eastAsia="Times New Roman" w:cs="Calibri"/>
          <w:kern w:val="1"/>
          <w:sz w:val="24"/>
          <w:szCs w:val="24"/>
          <w:lang w:eastAsia="ar-SA"/>
        </w:rPr>
        <w:t xml:space="preserve">que </w:t>
      </w:r>
      <w:r w:rsidR="003E2874">
        <w:rPr>
          <w:rFonts w:eastAsia="Times New Roman" w:cs="Calibri"/>
          <w:kern w:val="1"/>
          <w:sz w:val="24"/>
          <w:szCs w:val="24"/>
          <w:lang w:eastAsia="ar-SA"/>
        </w:rPr>
        <w:t xml:space="preserve">comprovam que: </w:t>
      </w:r>
    </w:p>
    <w:p w14:paraId="19CD34B0" w14:textId="0CC03837" w:rsidR="003E2874" w:rsidRDefault="00483912" w:rsidP="003E2874">
      <w:pPr>
        <w:pStyle w:val="PargrafodaLista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 w:rsidRPr="00483912">
        <w:rPr>
          <w:rFonts w:eastAsia="Times New Roman" w:cs="Calibri"/>
          <w:kern w:val="1"/>
          <w:sz w:val="24"/>
          <w:szCs w:val="24"/>
          <w:lang w:eastAsia="ar-SA"/>
        </w:rPr>
        <w:t>Resta esclarecido que a requerida apresentou o Link do Fabricante com Especificação Técnica, no qual estão identificados os modelos e a marca de cada produto, assim como as especificações técnicas pertinentes de modo a atender ao que dispõe o Edital</w:t>
      </w:r>
      <w:r w:rsidR="003E2874">
        <w:rPr>
          <w:rFonts w:eastAsia="Times New Roman" w:cs="Calibri"/>
          <w:kern w:val="1"/>
          <w:sz w:val="24"/>
          <w:szCs w:val="24"/>
          <w:lang w:eastAsia="ar-SA"/>
        </w:rPr>
        <w:t xml:space="preserve">; </w:t>
      </w:r>
    </w:p>
    <w:p w14:paraId="29A99683" w14:textId="028F03DE" w:rsidR="005A68B0" w:rsidRPr="00483912" w:rsidRDefault="00483912" w:rsidP="00CA23F0">
      <w:pPr>
        <w:pStyle w:val="PargrafodaLista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483912">
        <w:rPr>
          <w:rFonts w:eastAsia="Times New Roman" w:cs="Calibri"/>
          <w:kern w:val="1"/>
          <w:sz w:val="24"/>
          <w:szCs w:val="24"/>
          <w:lang w:eastAsia="ar-SA"/>
        </w:rPr>
        <w:t>A empresa alega em seu recurso, que haveria a necessidade de cotação de kit Bandeja de emenda, extensões ópticas conectorização e kit suporte de adaptadores, ocorre que tais produtos não foram objeto de exigência do Edital, isto porque seu custo resta incorporado à instalação do produto principal, e não foram objeto de exigência da proposta de preços exigida no certame.</w:t>
      </w:r>
    </w:p>
    <w:p w14:paraId="243457DC" w14:textId="77777777" w:rsidR="00483912" w:rsidRDefault="00483912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highlight w:val="yellow"/>
          <w:lang w:eastAsia="ar-SA"/>
        </w:rPr>
      </w:pPr>
    </w:p>
    <w:p w14:paraId="1839AEDD" w14:textId="43941D49" w:rsidR="005A68B0" w:rsidRDefault="005A68B0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D53E34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ANÁLISE DA ÁREA DEMANDANTE (Técnica)</w:t>
      </w:r>
    </w:p>
    <w:p w14:paraId="70749648" w14:textId="77777777" w:rsidR="003B733C" w:rsidRDefault="005A68B0" w:rsidP="005A68B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 w:rsidRPr="005A68B0">
        <w:rPr>
          <w:rFonts w:eastAsia="Times New Roman" w:cs="Calibri"/>
          <w:kern w:val="1"/>
          <w:sz w:val="24"/>
          <w:szCs w:val="24"/>
          <w:lang w:eastAsia="ar-SA"/>
        </w:rPr>
        <w:t>Considerando o assunto do recurso ser exclusivamente da área técnica, ou seja, trata-se da</w:t>
      </w:r>
      <w:r>
        <w:rPr>
          <w:rFonts w:eastAsia="Times New Roman" w:cs="Calibri"/>
          <w:kern w:val="1"/>
          <w:sz w:val="24"/>
          <w:szCs w:val="24"/>
          <w:lang w:eastAsia="ar-SA"/>
        </w:rPr>
        <w:t xml:space="preserve">s especificações solicitadas pela Secretaria de Tecnologia da Informação e de Comunicação – SETIC da Udesc, foi solicitado análise pelo responsável técnico </w:t>
      </w:r>
      <w:r w:rsidR="003B733C">
        <w:rPr>
          <w:rFonts w:eastAsia="Times New Roman" w:cs="Calibri"/>
          <w:kern w:val="1"/>
          <w:sz w:val="24"/>
          <w:szCs w:val="24"/>
          <w:lang w:eastAsia="ar-SA"/>
        </w:rPr>
        <w:t xml:space="preserve">conforme redação a seguir: </w:t>
      </w:r>
    </w:p>
    <w:p w14:paraId="455F9927" w14:textId="336A25D9" w:rsidR="005A68B0" w:rsidRDefault="00D53E34" w:rsidP="003B733C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>
        <w:rPr>
          <w:noProof/>
        </w:rPr>
        <w:lastRenderedPageBreak/>
        <w:drawing>
          <wp:inline distT="0" distB="0" distL="0" distR="0" wp14:anchorId="0A3AB7D9" wp14:editId="539A86C7">
            <wp:extent cx="5759450" cy="1463675"/>
            <wp:effectExtent l="0" t="0" r="0" b="317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46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68B0">
        <w:rPr>
          <w:rFonts w:eastAsia="Times New Roman" w:cs="Calibri"/>
          <w:kern w:val="1"/>
          <w:sz w:val="24"/>
          <w:szCs w:val="24"/>
          <w:lang w:eastAsia="ar-SA"/>
        </w:rPr>
        <w:t xml:space="preserve"> </w:t>
      </w:r>
    </w:p>
    <w:p w14:paraId="2188A0A5" w14:textId="59B9BB9F" w:rsidR="005354AA" w:rsidRPr="00144757" w:rsidRDefault="00FF7A44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ANÁLISE DO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PONTO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="005354AA"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QUESTIONADO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</w:p>
    <w:p w14:paraId="11878D1F" w14:textId="77777777" w:rsidR="00925675" w:rsidRPr="00144757" w:rsidRDefault="00925675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2C607316" w14:textId="77777777" w:rsidR="003B733C" w:rsidRDefault="00FF7A44" w:rsidP="005A68B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 w:rsidRPr="00144757">
        <w:rPr>
          <w:sz w:val="24"/>
          <w:szCs w:val="24"/>
        </w:rPr>
        <w:t>Pas</w:t>
      </w:r>
      <w:r w:rsidR="005A68B0">
        <w:rPr>
          <w:sz w:val="24"/>
          <w:szCs w:val="24"/>
        </w:rPr>
        <w:t>sando a análise do</w:t>
      </w:r>
      <w:r w:rsidR="003B733C">
        <w:rPr>
          <w:sz w:val="24"/>
          <w:szCs w:val="24"/>
        </w:rPr>
        <w:t>s</w:t>
      </w:r>
      <w:r w:rsidR="005A68B0">
        <w:rPr>
          <w:sz w:val="24"/>
          <w:szCs w:val="24"/>
        </w:rPr>
        <w:t xml:space="preserve"> ponto</w:t>
      </w:r>
      <w:r w:rsidR="003B733C">
        <w:rPr>
          <w:sz w:val="24"/>
          <w:szCs w:val="24"/>
        </w:rPr>
        <w:t>s</w:t>
      </w:r>
      <w:r w:rsidR="005A68B0">
        <w:rPr>
          <w:sz w:val="24"/>
          <w:szCs w:val="24"/>
        </w:rPr>
        <w:t xml:space="preserve"> da recorrente</w:t>
      </w:r>
      <w:r w:rsidR="003B733C">
        <w:rPr>
          <w:sz w:val="24"/>
          <w:szCs w:val="24"/>
        </w:rPr>
        <w:t xml:space="preserve"> conclui-se que:</w:t>
      </w:r>
    </w:p>
    <w:p w14:paraId="25EB6F17" w14:textId="6A316AFD" w:rsidR="003B733C" w:rsidRDefault="003B733C" w:rsidP="00E25B50">
      <w:pPr>
        <w:pStyle w:val="PargrafodaLista"/>
        <w:numPr>
          <w:ilvl w:val="0"/>
          <w:numId w:val="10"/>
        </w:numPr>
        <w:jc w:val="both"/>
        <w:rPr>
          <w:sz w:val="24"/>
          <w:szCs w:val="24"/>
        </w:rPr>
      </w:pPr>
      <w:r w:rsidRPr="003B733C">
        <w:rPr>
          <w:sz w:val="24"/>
          <w:szCs w:val="24"/>
        </w:rPr>
        <w:t>A empresa apresentou os documentos que comprovam</w:t>
      </w:r>
      <w:r w:rsidR="00E25B50">
        <w:rPr>
          <w:sz w:val="24"/>
          <w:szCs w:val="24"/>
        </w:rPr>
        <w:t xml:space="preserve"> as especificações </w:t>
      </w:r>
      <w:r w:rsidR="00896C75">
        <w:rPr>
          <w:sz w:val="24"/>
          <w:szCs w:val="24"/>
        </w:rPr>
        <w:t xml:space="preserve">dos produtos ofertados </w:t>
      </w:r>
      <w:r w:rsidR="006B620E">
        <w:rPr>
          <w:sz w:val="24"/>
          <w:szCs w:val="24"/>
        </w:rPr>
        <w:t>pelos links dos catálogos, sendo avaliado pelo responsável técnico que analisou os produtos ofertados, tendo sido habilitado a proposta do fornecedor</w:t>
      </w:r>
      <w:r w:rsidRPr="003B733C">
        <w:rPr>
          <w:sz w:val="24"/>
          <w:szCs w:val="24"/>
        </w:rPr>
        <w:t>;</w:t>
      </w:r>
    </w:p>
    <w:p w14:paraId="5BF3552D" w14:textId="1984C792" w:rsidR="003B733C" w:rsidRPr="00D53E34" w:rsidRDefault="00D53E34" w:rsidP="00E25B50">
      <w:pPr>
        <w:pStyle w:val="PargrafodaLista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Conforme relata o responsável </w:t>
      </w:r>
      <w:proofErr w:type="gramStart"/>
      <w:r>
        <w:rPr>
          <w:sz w:val="24"/>
          <w:szCs w:val="24"/>
        </w:rPr>
        <w:t>técnico :</w:t>
      </w:r>
      <w:proofErr w:type="gramEnd"/>
      <w:r>
        <w:rPr>
          <w:sz w:val="24"/>
          <w:szCs w:val="24"/>
        </w:rPr>
        <w:t xml:space="preserve"> “</w:t>
      </w:r>
      <w:r w:rsidRPr="00D53E34">
        <w:rPr>
          <w:sz w:val="24"/>
          <w:szCs w:val="24"/>
        </w:rPr>
        <w:t xml:space="preserve">Todos os kits necessários </w:t>
      </w:r>
      <w:proofErr w:type="spellStart"/>
      <w:r w:rsidRPr="00D53E34">
        <w:rPr>
          <w:sz w:val="24"/>
          <w:szCs w:val="24"/>
        </w:rPr>
        <w:t>a</w:t>
      </w:r>
      <w:proofErr w:type="spellEnd"/>
      <w:r w:rsidRPr="00D53E34">
        <w:rPr>
          <w:sz w:val="24"/>
          <w:szCs w:val="24"/>
        </w:rPr>
        <w:t xml:space="preserve"> instalação e fornecimento do material/serviço deverão obrigatoriamente estar inclusos mesmo que não discriminados. Este é o formato deste edital</w:t>
      </w:r>
      <w:r>
        <w:rPr>
          <w:sz w:val="24"/>
          <w:szCs w:val="24"/>
        </w:rPr>
        <w:t>”, desta forma a proposta da empresa está dentro do solicitado no edital.</w:t>
      </w:r>
      <w:r w:rsidR="00E25B50" w:rsidRPr="00D53E34">
        <w:rPr>
          <w:sz w:val="24"/>
          <w:szCs w:val="24"/>
        </w:rPr>
        <w:t xml:space="preserve"> </w:t>
      </w:r>
    </w:p>
    <w:p w14:paraId="5DF34540" w14:textId="77777777" w:rsidR="006B620E" w:rsidRDefault="006B620E" w:rsidP="00974A21">
      <w:pPr>
        <w:ind w:firstLine="708"/>
        <w:jc w:val="both"/>
        <w:rPr>
          <w:sz w:val="24"/>
          <w:szCs w:val="24"/>
        </w:rPr>
      </w:pPr>
    </w:p>
    <w:p w14:paraId="31A47052" w14:textId="21448D73" w:rsidR="00974A21" w:rsidRPr="00A93FB0" w:rsidRDefault="003D0353" w:rsidP="00974A2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 base na análise do Responsável Técnico, em conjunto com as contrarrazões da recorrida, entendemos que a </w:t>
      </w:r>
      <w:r w:rsidR="00D63170">
        <w:rPr>
          <w:sz w:val="24"/>
          <w:szCs w:val="24"/>
        </w:rPr>
        <w:t xml:space="preserve">proposta </w:t>
      </w:r>
      <w:r>
        <w:rPr>
          <w:sz w:val="24"/>
          <w:szCs w:val="24"/>
        </w:rPr>
        <w:t xml:space="preserve">apresentada pela empresa </w:t>
      </w:r>
      <w:r w:rsidR="00EF2EFC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ALFA TELECOM COMERCIO E SERVIÇO DE TECNOLOGIA EM REDE LTDA-ME</w:t>
      </w:r>
      <w:r w:rsidR="00EF2E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atende ao exigido no Termo de Referência do PE </w:t>
      </w:r>
      <w:r w:rsidR="00EF2EFC">
        <w:rPr>
          <w:sz w:val="24"/>
          <w:szCs w:val="24"/>
        </w:rPr>
        <w:t>1</w:t>
      </w:r>
      <w:r w:rsidR="00D63170">
        <w:rPr>
          <w:sz w:val="24"/>
          <w:szCs w:val="24"/>
        </w:rPr>
        <w:t>132</w:t>
      </w:r>
      <w:r w:rsidR="00EF2EFC">
        <w:rPr>
          <w:sz w:val="24"/>
          <w:szCs w:val="24"/>
        </w:rPr>
        <w:t>/2022</w:t>
      </w:r>
      <w:r w:rsidR="00974A21" w:rsidRPr="00A93FB0">
        <w:rPr>
          <w:sz w:val="24"/>
          <w:szCs w:val="24"/>
        </w:rPr>
        <w:t>.</w:t>
      </w:r>
    </w:p>
    <w:p w14:paraId="79AD423A" w14:textId="77777777" w:rsidR="001B10F4" w:rsidRDefault="001B10F4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1DB22B45" w14:textId="547077B5" w:rsidR="005354AA" w:rsidRPr="001B00B9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B00B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DECISÃO</w:t>
      </w:r>
    </w:p>
    <w:p w14:paraId="4DC7495B" w14:textId="7CF9D137" w:rsidR="00C479C9" w:rsidRPr="001B00B9" w:rsidRDefault="00747AA8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color w:val="000000"/>
          <w:sz w:val="24"/>
          <w:szCs w:val="24"/>
        </w:rPr>
      </w:pP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>Por todo o exposto, julg</w:t>
      </w:r>
      <w:r w:rsidR="00E102CD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>amos</w:t>
      </w: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D0353" w:rsidRPr="003D0353">
        <w:rPr>
          <w:rFonts w:eastAsia="Times New Roman" w:cs="Calibri"/>
          <w:b/>
          <w:kern w:val="1"/>
          <w:sz w:val="24"/>
          <w:szCs w:val="24"/>
          <w:lang w:eastAsia="ar-SA"/>
        </w:rPr>
        <w:t>IM</w:t>
      </w:r>
      <w:r w:rsidRPr="003D0353">
        <w:rPr>
          <w:rFonts w:eastAsia="Times New Roman" w:cs="Calibri"/>
          <w:b/>
          <w:kern w:val="1"/>
          <w:sz w:val="24"/>
          <w:szCs w:val="24"/>
          <w:lang w:eastAsia="ar-SA"/>
        </w:rPr>
        <w:t>PROCE</w:t>
      </w:r>
      <w:r w:rsidRPr="001B00B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DENTE</w:t>
      </w: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 da empresa </w:t>
      </w:r>
      <w:r w:rsidR="00361662" w:rsidRPr="00361662">
        <w:rPr>
          <w:rFonts w:eastAsia="Times New Roman" w:cs="Calibri"/>
          <w:bCs/>
          <w:kern w:val="1"/>
          <w:sz w:val="24"/>
          <w:szCs w:val="24"/>
          <w:lang w:eastAsia="ar-SA"/>
        </w:rPr>
        <w:t>SCJ SEGURANÇA DIGITAL EIRELI</w:t>
      </w: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3D035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mantendo</w:t>
      </w:r>
      <w:r w:rsidR="00AA6BEE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a decisão final do pregão que julgou vencedora </w:t>
      </w:r>
      <w:r w:rsidR="008255EA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a</w:t>
      </w:r>
      <w:r w:rsidR="00AA6BEE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empresa </w:t>
      </w:r>
      <w:proofErr w:type="spellStart"/>
      <w:r w:rsidR="004D4D6D" w:rsidRPr="001B10F4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Microcable</w:t>
      </w:r>
      <w:proofErr w:type="spellEnd"/>
      <w:r w:rsidR="004D4D6D" w:rsidRPr="001B10F4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Serviços e Equipamentos Ltda</w:t>
      </w:r>
      <w:r w:rsidR="0018554E" w:rsidRPr="0018554E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.</w:t>
      </w:r>
      <w:r w:rsidR="001D722B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="00AA6BEE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Desta maneira submeto a presente decisão à autoridade superior para apreciação e posterior ratificação</w:t>
      </w:r>
      <w:r w:rsidR="003F7F69" w:rsidRPr="001B00B9">
        <w:rPr>
          <w:rFonts w:eastAsia="Times New Roman" w:cs="Calibri"/>
          <w:color w:val="000000"/>
          <w:sz w:val="24"/>
          <w:szCs w:val="24"/>
        </w:rPr>
        <w:t>.</w:t>
      </w:r>
    </w:p>
    <w:p w14:paraId="0E5C8628" w14:textId="77777777" w:rsidR="006C4F43" w:rsidRPr="001B00B9" w:rsidRDefault="006C4F43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</w:p>
    <w:p w14:paraId="0E936D7F" w14:textId="7B3FAA2D" w:rsidR="00144757" w:rsidRPr="001B00B9" w:rsidRDefault="00476703" w:rsidP="00144757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Florianópolis, </w:t>
      </w:r>
      <w:r w:rsidR="00361662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1B10F4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144757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</w:t>
      </w:r>
      <w:r w:rsidR="00EF2EFC">
        <w:rPr>
          <w:rFonts w:eastAsia="Times New Roman" w:cs="Calibri"/>
          <w:bCs/>
          <w:kern w:val="1"/>
          <w:sz w:val="24"/>
          <w:szCs w:val="24"/>
          <w:lang w:eastAsia="ar-SA"/>
        </w:rPr>
        <w:t>novembro</w:t>
      </w:r>
      <w:r w:rsidR="00AA6BEE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20</w:t>
      </w:r>
      <w:r w:rsidR="001B00B9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EF2EFC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144757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4A6CDCC3" w14:textId="77777777" w:rsidR="006C4F43" w:rsidRPr="001B00B9" w:rsidRDefault="006C4F43" w:rsidP="00144757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Cs/>
          <w:kern w:val="1"/>
          <w:sz w:val="24"/>
          <w:szCs w:val="24"/>
          <w:u w:val="single"/>
          <w:lang w:eastAsia="ar-SA"/>
        </w:rPr>
      </w:pPr>
      <w:bookmarkStart w:id="1" w:name="_GoBack"/>
      <w:bookmarkEnd w:id="1"/>
    </w:p>
    <w:p w14:paraId="4D5E1023" w14:textId="77777777" w:rsidR="006C4F43" w:rsidRPr="001B00B9" w:rsidRDefault="006C4F43" w:rsidP="00144757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Cs/>
          <w:kern w:val="1"/>
          <w:sz w:val="24"/>
          <w:szCs w:val="24"/>
          <w:u w:val="single"/>
          <w:lang w:eastAsia="ar-SA"/>
        </w:rPr>
        <w:sectPr w:rsidR="006C4F43" w:rsidRPr="001B00B9" w:rsidSect="001B10F4">
          <w:headerReference w:type="default" r:id="rId8"/>
          <w:footerReference w:type="default" r:id="rId9"/>
          <w:type w:val="continuous"/>
          <w:pgSz w:w="11906" w:h="16838"/>
          <w:pgMar w:top="1418" w:right="1133" w:bottom="1418" w:left="993" w:header="709" w:footer="709" w:gutter="0"/>
          <w:cols w:space="708"/>
          <w:docGrid w:linePitch="360"/>
        </w:sectPr>
      </w:pPr>
    </w:p>
    <w:p w14:paraId="2C9DECC0" w14:textId="77777777" w:rsidR="003F7F69" w:rsidRPr="001B00B9" w:rsidRDefault="003F7F69" w:rsidP="003F7F6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</w:pPr>
      <w:r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_________</w:t>
      </w:r>
      <w:proofErr w:type="gramStart"/>
      <w:r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_</w:t>
      </w:r>
      <w:r w:rsidR="001B00B9"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(</w:t>
      </w:r>
      <w:proofErr w:type="gramEnd"/>
      <w:r w:rsidR="001B00B9"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assinatura digital)</w:t>
      </w:r>
      <w:r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_____________</w:t>
      </w:r>
    </w:p>
    <w:p w14:paraId="41905A04" w14:textId="552C9B16" w:rsidR="003F7F69" w:rsidRPr="001B00B9" w:rsidRDefault="0065439A" w:rsidP="003F7F69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="00361662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Marcelo Darci de Souza </w:t>
      </w:r>
    </w:p>
    <w:p w14:paraId="59DA243E" w14:textId="1A00277F" w:rsidR="003F7F69" w:rsidRDefault="003F7F69" w:rsidP="003F7F69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Pregoeir</w:t>
      </w:r>
      <w:r w:rsidR="003D035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o PE </w:t>
      </w:r>
      <w:r w:rsidR="00EF2EFC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1</w:t>
      </w:r>
      <w:r w:rsidR="00361662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132</w:t>
      </w:r>
      <w:r w:rsidR="00EF2EFC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/2022</w:t>
      </w:r>
    </w:p>
    <w:sectPr w:rsidR="003F7F69" w:rsidSect="00E102CD">
      <w:headerReference w:type="default" r:id="rId10"/>
      <w:footerReference w:type="default" r:id="rId11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3A117" w14:textId="77777777" w:rsidR="00B16E95" w:rsidRDefault="00B16E95" w:rsidP="00553B38">
      <w:pPr>
        <w:spacing w:after="0" w:line="240" w:lineRule="auto"/>
      </w:pPr>
      <w:r>
        <w:separator/>
      </w:r>
    </w:p>
  </w:endnote>
  <w:endnote w:type="continuationSeparator" w:id="0">
    <w:p w14:paraId="343A3A25" w14:textId="77777777" w:rsidR="00B16E95" w:rsidRDefault="00B16E95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65A38" w14:textId="77777777" w:rsidR="00B16E95" w:rsidRDefault="00B16E95" w:rsidP="004C3221">
    <w:pPr>
      <w:pStyle w:val="Rodap"/>
      <w:jc w:val="right"/>
      <w:rPr>
        <w:rFonts w:ascii="Garamond" w:hAnsi="Garamond"/>
      </w:rPr>
    </w:pPr>
  </w:p>
  <w:p w14:paraId="060FF4FB" w14:textId="77777777" w:rsidR="00B16E95" w:rsidRPr="004C3221" w:rsidRDefault="00B16E95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</w:t>
    </w:r>
    <w:r w:rsidRPr="004C3221">
      <w:rPr>
        <w:rFonts w:ascii="Garamond" w:hAnsi="Garamond"/>
      </w:rPr>
      <w:t>- FLORIANÓPOLIS</w:t>
    </w:r>
  </w:p>
  <w:p w14:paraId="2D360478" w14:textId="77777777" w:rsidR="00B16E95" w:rsidRPr="00042199" w:rsidRDefault="00B16E95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0C564DC8" w14:textId="77777777" w:rsidR="00B16E95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65F2B17E" w14:textId="77777777" w:rsidR="00B16E95" w:rsidRPr="004C3221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Florianópolis SC - Fone (48) 3321-809</w:t>
    </w:r>
    <w:r>
      <w:rPr>
        <w:rFonts w:ascii="Garamond" w:hAnsi="Garamond"/>
      </w:rPr>
      <w:t>3</w:t>
    </w:r>
    <w:r w:rsidRPr="004C3221">
      <w:rPr>
        <w:rFonts w:ascii="Garamond" w:hAnsi="Garamond"/>
      </w:rPr>
      <w:t xml:space="preserve"> - </w:t>
    </w:r>
    <w:r w:rsidRPr="00042199">
      <w:rPr>
        <w:rFonts w:ascii="Garamond" w:hAnsi="Garamond"/>
        <w:b/>
      </w:rPr>
      <w:t>www.udesc.br/?id=832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89D6B" w14:textId="77777777" w:rsidR="00B16E95" w:rsidRDefault="00B16E95" w:rsidP="004C3221">
    <w:pPr>
      <w:pStyle w:val="Rodap"/>
      <w:jc w:val="right"/>
      <w:rPr>
        <w:rFonts w:ascii="Garamond" w:hAnsi="Garamond"/>
      </w:rPr>
    </w:pPr>
  </w:p>
  <w:p w14:paraId="794BCCE9" w14:textId="77777777" w:rsidR="00B16E95" w:rsidRPr="004C3221" w:rsidRDefault="00B16E95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</w:t>
    </w:r>
    <w:r w:rsidRPr="004C3221">
      <w:rPr>
        <w:rFonts w:ascii="Garamond" w:hAnsi="Garamond"/>
      </w:rPr>
      <w:t>- FLORIANÓPOLIS</w:t>
    </w:r>
  </w:p>
  <w:p w14:paraId="6C010BF1" w14:textId="77777777" w:rsidR="00B16E95" w:rsidRPr="00042199" w:rsidRDefault="00B16E95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7F33FBC8" w14:textId="77777777" w:rsidR="00B16E95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084F22C4" w14:textId="77777777" w:rsidR="00B16E95" w:rsidRPr="004C3221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Florianópolis SC - Fone (48) 3321-809</w:t>
    </w:r>
    <w:r>
      <w:rPr>
        <w:rFonts w:ascii="Garamond" w:hAnsi="Garamond"/>
      </w:rPr>
      <w:t>3</w:t>
    </w:r>
    <w:r w:rsidRPr="004C3221">
      <w:rPr>
        <w:rFonts w:ascii="Garamond" w:hAnsi="Garamond"/>
      </w:rPr>
      <w:t xml:space="preserve"> - </w:t>
    </w:r>
    <w:r w:rsidRPr="00042199">
      <w:rPr>
        <w:rFonts w:ascii="Garamond" w:hAnsi="Garamond"/>
        <w:b/>
      </w:rPr>
      <w:t>www.udesc.br/?id=832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69DB1" w14:textId="77777777" w:rsidR="00B16E95" w:rsidRDefault="00B16E95" w:rsidP="00553B38">
      <w:pPr>
        <w:spacing w:after="0" w:line="240" w:lineRule="auto"/>
      </w:pPr>
      <w:r>
        <w:separator/>
      </w:r>
    </w:p>
  </w:footnote>
  <w:footnote w:type="continuationSeparator" w:id="0">
    <w:p w14:paraId="2CD055BB" w14:textId="77777777" w:rsidR="00B16E95" w:rsidRDefault="00B16E95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999D" w14:textId="77777777" w:rsidR="00B16E95" w:rsidRDefault="00B16E95">
    <w:pPr>
      <w:pStyle w:val="Cabealho"/>
    </w:pPr>
    <w:r>
      <w:rPr>
        <w:noProof/>
        <w:lang w:eastAsia="pt-BR"/>
      </w:rPr>
      <w:drawing>
        <wp:inline distT="0" distB="0" distL="0" distR="0" wp14:anchorId="0F31FF01" wp14:editId="0C10786C">
          <wp:extent cx="1290698" cy="438150"/>
          <wp:effectExtent l="0" t="0" r="5080" b="0"/>
          <wp:docPr id="10" name="Imagem 10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53A17D2" w14:textId="77777777" w:rsidR="00B16E95" w:rsidRDefault="00B16E9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28E87" w14:textId="77777777" w:rsidR="00B16E95" w:rsidRDefault="00B16E95">
    <w:pPr>
      <w:pStyle w:val="Cabealho"/>
    </w:pPr>
    <w:r>
      <w:rPr>
        <w:noProof/>
        <w:lang w:eastAsia="pt-BR"/>
      </w:rPr>
      <w:drawing>
        <wp:inline distT="0" distB="0" distL="0" distR="0" wp14:anchorId="6EE87D68" wp14:editId="681FE522">
          <wp:extent cx="1290698" cy="438150"/>
          <wp:effectExtent l="0" t="0" r="508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BB1541"/>
    <w:multiLevelType w:val="hybridMultilevel"/>
    <w:tmpl w:val="C8424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A59D5"/>
    <w:multiLevelType w:val="hybridMultilevel"/>
    <w:tmpl w:val="4BE87842"/>
    <w:lvl w:ilvl="0" w:tplc="889AEE1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85383E"/>
    <w:multiLevelType w:val="hybridMultilevel"/>
    <w:tmpl w:val="BB72BA4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E140D"/>
    <w:multiLevelType w:val="hybridMultilevel"/>
    <w:tmpl w:val="7D92B8AA"/>
    <w:lvl w:ilvl="0" w:tplc="420C23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5E076B"/>
    <w:multiLevelType w:val="multilevel"/>
    <w:tmpl w:val="8AA4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2342D5"/>
    <w:multiLevelType w:val="multilevel"/>
    <w:tmpl w:val="39D87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CE7179"/>
    <w:multiLevelType w:val="multilevel"/>
    <w:tmpl w:val="1C960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3B6363"/>
    <w:multiLevelType w:val="hybridMultilevel"/>
    <w:tmpl w:val="0D861FB0"/>
    <w:lvl w:ilvl="0" w:tplc="57B89C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FA67AE8"/>
    <w:multiLevelType w:val="multilevel"/>
    <w:tmpl w:val="CE0AD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030"/>
    <w:rsid w:val="00042199"/>
    <w:rsid w:val="000875EE"/>
    <w:rsid w:val="000B0AEC"/>
    <w:rsid w:val="000B21A9"/>
    <w:rsid w:val="000C1A82"/>
    <w:rsid w:val="001065FD"/>
    <w:rsid w:val="00121A8E"/>
    <w:rsid w:val="00144757"/>
    <w:rsid w:val="00147E5D"/>
    <w:rsid w:val="0015109A"/>
    <w:rsid w:val="0015336E"/>
    <w:rsid w:val="00153CC4"/>
    <w:rsid w:val="00166229"/>
    <w:rsid w:val="00175F95"/>
    <w:rsid w:val="0018554E"/>
    <w:rsid w:val="001A413E"/>
    <w:rsid w:val="001B00B9"/>
    <w:rsid w:val="001B10F4"/>
    <w:rsid w:val="001B79BA"/>
    <w:rsid w:val="001D722B"/>
    <w:rsid w:val="002611DD"/>
    <w:rsid w:val="00261B24"/>
    <w:rsid w:val="00273396"/>
    <w:rsid w:val="002824B2"/>
    <w:rsid w:val="00291E88"/>
    <w:rsid w:val="002A72D5"/>
    <w:rsid w:val="002D4589"/>
    <w:rsid w:val="003122AD"/>
    <w:rsid w:val="003429D5"/>
    <w:rsid w:val="00361662"/>
    <w:rsid w:val="003837DA"/>
    <w:rsid w:val="003B733C"/>
    <w:rsid w:val="003D0353"/>
    <w:rsid w:val="003D1EEA"/>
    <w:rsid w:val="003E2874"/>
    <w:rsid w:val="003F6EB1"/>
    <w:rsid w:val="003F7F69"/>
    <w:rsid w:val="00465744"/>
    <w:rsid w:val="00476703"/>
    <w:rsid w:val="00483912"/>
    <w:rsid w:val="004B46D5"/>
    <w:rsid w:val="004B692A"/>
    <w:rsid w:val="004C01E2"/>
    <w:rsid w:val="004C3221"/>
    <w:rsid w:val="004D4D6D"/>
    <w:rsid w:val="004F353D"/>
    <w:rsid w:val="00512549"/>
    <w:rsid w:val="00527B1C"/>
    <w:rsid w:val="005354AA"/>
    <w:rsid w:val="00553B38"/>
    <w:rsid w:val="005648C1"/>
    <w:rsid w:val="00566EAC"/>
    <w:rsid w:val="00575B78"/>
    <w:rsid w:val="00582908"/>
    <w:rsid w:val="005A68B0"/>
    <w:rsid w:val="005B529A"/>
    <w:rsid w:val="005D4866"/>
    <w:rsid w:val="005D768B"/>
    <w:rsid w:val="00603F6A"/>
    <w:rsid w:val="0063689A"/>
    <w:rsid w:val="006531A8"/>
    <w:rsid w:val="0065439A"/>
    <w:rsid w:val="006774C1"/>
    <w:rsid w:val="006941AB"/>
    <w:rsid w:val="00696979"/>
    <w:rsid w:val="006B620E"/>
    <w:rsid w:val="006B6F57"/>
    <w:rsid w:val="006C4F43"/>
    <w:rsid w:val="006D4CEA"/>
    <w:rsid w:val="006D7CC3"/>
    <w:rsid w:val="006F08A7"/>
    <w:rsid w:val="00710E18"/>
    <w:rsid w:val="00746A3C"/>
    <w:rsid w:val="00747AA8"/>
    <w:rsid w:val="007508BD"/>
    <w:rsid w:val="007D3339"/>
    <w:rsid w:val="007D6967"/>
    <w:rsid w:val="007E37C8"/>
    <w:rsid w:val="007F29EC"/>
    <w:rsid w:val="00813F90"/>
    <w:rsid w:val="008255EA"/>
    <w:rsid w:val="0084298F"/>
    <w:rsid w:val="00876D45"/>
    <w:rsid w:val="00895BAC"/>
    <w:rsid w:val="00896C75"/>
    <w:rsid w:val="00925675"/>
    <w:rsid w:val="00957547"/>
    <w:rsid w:val="00972478"/>
    <w:rsid w:val="00974A21"/>
    <w:rsid w:val="00996297"/>
    <w:rsid w:val="009B689A"/>
    <w:rsid w:val="009D1030"/>
    <w:rsid w:val="00A032BA"/>
    <w:rsid w:val="00A152E2"/>
    <w:rsid w:val="00A26EB2"/>
    <w:rsid w:val="00A54BB4"/>
    <w:rsid w:val="00A641A3"/>
    <w:rsid w:val="00A664E5"/>
    <w:rsid w:val="00A90561"/>
    <w:rsid w:val="00A93FB0"/>
    <w:rsid w:val="00AA2C75"/>
    <w:rsid w:val="00AA6BEE"/>
    <w:rsid w:val="00AE724C"/>
    <w:rsid w:val="00B12C59"/>
    <w:rsid w:val="00B146E2"/>
    <w:rsid w:val="00B16E95"/>
    <w:rsid w:val="00B7724D"/>
    <w:rsid w:val="00B87B1F"/>
    <w:rsid w:val="00BC3E28"/>
    <w:rsid w:val="00BE3A67"/>
    <w:rsid w:val="00BF1CBD"/>
    <w:rsid w:val="00C16180"/>
    <w:rsid w:val="00C479C9"/>
    <w:rsid w:val="00C55137"/>
    <w:rsid w:val="00C614A0"/>
    <w:rsid w:val="00CA2A61"/>
    <w:rsid w:val="00CB4813"/>
    <w:rsid w:val="00D1022A"/>
    <w:rsid w:val="00D53E34"/>
    <w:rsid w:val="00D63170"/>
    <w:rsid w:val="00D67AC1"/>
    <w:rsid w:val="00D8184B"/>
    <w:rsid w:val="00D8387D"/>
    <w:rsid w:val="00DD0E9A"/>
    <w:rsid w:val="00E102CD"/>
    <w:rsid w:val="00E20F5B"/>
    <w:rsid w:val="00E25B50"/>
    <w:rsid w:val="00E36BB4"/>
    <w:rsid w:val="00E420CA"/>
    <w:rsid w:val="00EA33E9"/>
    <w:rsid w:val="00EC724C"/>
    <w:rsid w:val="00EE63AE"/>
    <w:rsid w:val="00EF2EFC"/>
    <w:rsid w:val="00F429B8"/>
    <w:rsid w:val="00F51727"/>
    <w:rsid w:val="00F65AB1"/>
    <w:rsid w:val="00F67ADE"/>
    <w:rsid w:val="00FA7680"/>
    <w:rsid w:val="00FB7C68"/>
    <w:rsid w:val="00FC7945"/>
    <w:rsid w:val="00FE4DC2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358D832"/>
  <w15:docId w15:val="{BAB1BE28-3D49-4043-8E18-21D83284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9D103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3B38"/>
  </w:style>
  <w:style w:type="paragraph" w:styleId="Rodap">
    <w:name w:val="footer"/>
    <w:basedOn w:val="Normal"/>
    <w:link w:val="Rodap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3B38"/>
  </w:style>
  <w:style w:type="paragraph" w:styleId="Textodebalo">
    <w:name w:val="Balloon Text"/>
    <w:basedOn w:val="Normal"/>
    <w:link w:val="TextodebaloChar"/>
    <w:uiPriority w:val="99"/>
    <w:semiHidden/>
    <w:unhideWhenUsed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B38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D10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rsid w:val="009D10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9D10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A641A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641A3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Fontepargpadro"/>
    <w:uiPriority w:val="99"/>
    <w:unhideWhenUsed/>
    <w:rsid w:val="0084298F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2D45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B6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3zedxoi1pg9tqfd8az2z3">
    <w:name w:val="_3zedxoi_1pg9tqfd8az2z3"/>
    <w:basedOn w:val="Normal"/>
    <w:rsid w:val="005A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5A68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5A68B0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358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673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0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6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2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76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86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62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95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13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61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52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3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16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125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19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3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10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19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95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2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137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77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234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3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3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30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3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64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411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87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99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276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77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72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67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30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706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5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7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4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788</Words>
  <Characters>4259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Érico Kretzer Júnior</dc:creator>
  <cp:keywords/>
  <dc:description/>
  <cp:lastModifiedBy>MARCELO DARCI DE SOUZA</cp:lastModifiedBy>
  <cp:revision>21</cp:revision>
  <cp:lastPrinted>2018-04-26T17:44:00Z</cp:lastPrinted>
  <dcterms:created xsi:type="dcterms:W3CDTF">2020-06-02T20:17:00Z</dcterms:created>
  <dcterms:modified xsi:type="dcterms:W3CDTF">2022-11-11T17:01:00Z</dcterms:modified>
</cp:coreProperties>
</file>